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BC6" w:rsidRDefault="00FF0BC6" w:rsidP="00FF0BC6">
      <w:pPr>
        <w:spacing w:line="360" w:lineRule="auto"/>
        <w:jc w:val="center"/>
        <w:outlineLvl w:val="0"/>
        <w:rPr>
          <w:rFonts w:ascii="Calibri" w:hAnsi="Calibri" w:cs="Arial"/>
          <w:b/>
          <w:u w:val="single"/>
        </w:rPr>
      </w:pPr>
      <w:r>
        <w:rPr>
          <w:rFonts w:ascii="Calibri" w:hAnsi="Calibri" w:cs="Arial"/>
          <w:noProof/>
          <w:lang w:val="el-GR"/>
        </w:rPr>
        <w:drawing>
          <wp:inline distT="0" distB="0" distL="0" distR="0">
            <wp:extent cx="876300" cy="590550"/>
            <wp:effectExtent l="1905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876300" cy="590550"/>
                    </a:xfrm>
                    <a:prstGeom prst="rect">
                      <a:avLst/>
                    </a:prstGeom>
                    <a:noFill/>
                    <a:ln w="9525">
                      <a:noFill/>
                      <a:miter lim="800000"/>
                      <a:headEnd/>
                      <a:tailEnd/>
                    </a:ln>
                  </pic:spPr>
                </pic:pic>
              </a:graphicData>
            </a:graphic>
          </wp:inline>
        </w:drawing>
      </w:r>
    </w:p>
    <w:p w:rsidR="00FF0BC6" w:rsidRPr="00C17A9C" w:rsidRDefault="00FF0BC6" w:rsidP="00FF0BC6">
      <w:pPr>
        <w:spacing w:line="360" w:lineRule="auto"/>
        <w:jc w:val="center"/>
        <w:outlineLvl w:val="0"/>
        <w:rPr>
          <w:rFonts w:ascii="Calibri" w:hAnsi="Calibri" w:cs="Arial"/>
          <w:b/>
          <w:u w:val="single"/>
          <w:lang w:val="el-GR"/>
        </w:rPr>
      </w:pPr>
      <w:r w:rsidRPr="00C17A9C">
        <w:rPr>
          <w:rFonts w:ascii="Calibri" w:hAnsi="Calibri" w:cs="Arial"/>
          <w:b/>
          <w:u w:val="single"/>
          <w:lang w:val="el-GR"/>
        </w:rPr>
        <w:t>ΑΝΑΚΟΙΝΩΣΗ ΤΥΠΟΥ</w:t>
      </w:r>
    </w:p>
    <w:p w:rsidR="00FF0BC6" w:rsidRPr="000621F4" w:rsidRDefault="00FF0BC6" w:rsidP="00FF0BC6">
      <w:pPr>
        <w:spacing w:line="360" w:lineRule="auto"/>
        <w:jc w:val="center"/>
        <w:rPr>
          <w:rFonts w:ascii="Calibri" w:hAnsi="Calibri" w:cs="Arial"/>
          <w:b/>
          <w:lang w:val="el-GR"/>
        </w:rPr>
      </w:pPr>
      <w:r w:rsidRPr="00C17A9C">
        <w:rPr>
          <w:rFonts w:ascii="Calibri" w:hAnsi="Calibri" w:cs="Arial"/>
          <w:b/>
          <w:lang w:val="el-GR"/>
        </w:rPr>
        <w:t xml:space="preserve">Συνεδρία της Επιτροπής Παρακολούθησης των Επιχειρησιακών Προγραμμάτων που συγχρηματοδοτούνται από τα Διαρθρωτικά Ταμεία και το Ταμείο Συνοχής της Ευρωπαϊκής Ένωσης την </w:t>
      </w:r>
      <w:r>
        <w:rPr>
          <w:rFonts w:ascii="Calibri" w:hAnsi="Calibri" w:cs="Arial"/>
          <w:b/>
          <w:lang w:val="el-GR"/>
        </w:rPr>
        <w:t xml:space="preserve">προγραμματική </w:t>
      </w:r>
      <w:r w:rsidRPr="00C17A9C">
        <w:rPr>
          <w:rFonts w:ascii="Calibri" w:hAnsi="Calibri" w:cs="Arial"/>
          <w:b/>
          <w:lang w:val="el-GR"/>
        </w:rPr>
        <w:t>περίοδο 2007</w:t>
      </w:r>
      <w:r>
        <w:rPr>
          <w:rFonts w:ascii="Calibri" w:hAnsi="Calibri" w:cs="Arial"/>
          <w:b/>
          <w:lang w:val="el-GR"/>
        </w:rPr>
        <w:t xml:space="preserve"> – </w:t>
      </w:r>
      <w:r w:rsidRPr="00C17A9C">
        <w:rPr>
          <w:rFonts w:ascii="Calibri" w:hAnsi="Calibri" w:cs="Arial"/>
          <w:b/>
          <w:lang w:val="el-GR"/>
        </w:rPr>
        <w:t>2013</w:t>
      </w:r>
      <w:r>
        <w:rPr>
          <w:rFonts w:ascii="Calibri" w:hAnsi="Calibri" w:cs="Arial"/>
          <w:b/>
          <w:lang w:val="el-GR"/>
        </w:rPr>
        <w:t xml:space="preserve"> </w:t>
      </w:r>
    </w:p>
    <w:p w:rsidR="00FF0BC6" w:rsidRPr="00463DC2" w:rsidRDefault="00FF0BC6" w:rsidP="00FF0BC6">
      <w:pPr>
        <w:spacing w:line="360" w:lineRule="auto"/>
        <w:jc w:val="center"/>
        <w:rPr>
          <w:rFonts w:ascii="Calibri" w:hAnsi="Calibri" w:cs="Arial"/>
          <w:b/>
          <w:u w:val="single"/>
          <w:lang w:val="el-GR"/>
        </w:rPr>
      </w:pPr>
      <w:r>
        <w:rPr>
          <w:rFonts w:ascii="Calibri" w:hAnsi="Calibri" w:cs="Arial"/>
          <w:b/>
          <w:u w:val="single"/>
          <w:lang w:val="el-GR"/>
        </w:rPr>
        <w:t xml:space="preserve">Τετάρτη, </w:t>
      </w:r>
      <w:r w:rsidRPr="00463DC2">
        <w:rPr>
          <w:rFonts w:ascii="Calibri" w:hAnsi="Calibri" w:cs="Arial"/>
          <w:b/>
          <w:u w:val="single"/>
          <w:lang w:val="el-GR"/>
        </w:rPr>
        <w:t>2</w:t>
      </w:r>
      <w:r>
        <w:rPr>
          <w:rFonts w:ascii="Calibri" w:hAnsi="Calibri" w:cs="Arial"/>
          <w:b/>
          <w:u w:val="single"/>
          <w:lang w:val="el-GR"/>
        </w:rPr>
        <w:t xml:space="preserve">0 Ιουνίου </w:t>
      </w:r>
      <w:r w:rsidRPr="00463DC2">
        <w:rPr>
          <w:rFonts w:ascii="Calibri" w:hAnsi="Calibri" w:cs="Arial"/>
          <w:b/>
          <w:u w:val="single"/>
          <w:lang w:val="el-GR"/>
        </w:rPr>
        <w:t>201</w:t>
      </w:r>
      <w:r>
        <w:rPr>
          <w:rFonts w:ascii="Calibri" w:hAnsi="Calibri" w:cs="Arial"/>
          <w:b/>
          <w:u w:val="single"/>
          <w:lang w:val="el-GR"/>
        </w:rPr>
        <w:t>2</w:t>
      </w:r>
    </w:p>
    <w:p w:rsidR="00FF0BC6" w:rsidRPr="005A4C54" w:rsidRDefault="00FF0BC6" w:rsidP="00FF0BC6">
      <w:pPr>
        <w:spacing w:line="360" w:lineRule="auto"/>
        <w:jc w:val="center"/>
        <w:rPr>
          <w:rFonts w:ascii="Calibri" w:hAnsi="Calibri" w:cs="Arial"/>
          <w:b/>
          <w:i/>
          <w:u w:val="single"/>
          <w:lang w:val="el-GR"/>
        </w:rPr>
      </w:pPr>
      <w:r>
        <w:rPr>
          <w:rFonts w:ascii="Calibri" w:hAnsi="Calibri" w:cs="Arial"/>
          <w:b/>
          <w:i/>
          <w:u w:val="single"/>
          <w:lang w:val="el-GR"/>
        </w:rPr>
        <w:t xml:space="preserve">Λευκωσία, </w:t>
      </w:r>
      <w:r>
        <w:rPr>
          <w:rFonts w:ascii="Calibri" w:hAnsi="Calibri" w:cs="Arial"/>
          <w:b/>
          <w:i/>
          <w:u w:val="single"/>
          <w:lang w:val="en-US"/>
        </w:rPr>
        <w:t>Cleopatra</w:t>
      </w:r>
      <w:r w:rsidRPr="005A4C54">
        <w:rPr>
          <w:rFonts w:ascii="Calibri" w:hAnsi="Calibri" w:cs="Arial"/>
          <w:b/>
          <w:i/>
          <w:u w:val="single"/>
          <w:lang w:val="el-GR"/>
        </w:rPr>
        <w:t xml:space="preserve"> </w:t>
      </w:r>
      <w:r>
        <w:rPr>
          <w:rFonts w:ascii="Calibri" w:hAnsi="Calibri" w:cs="Arial"/>
          <w:b/>
          <w:i/>
          <w:u w:val="single"/>
          <w:lang w:val="en-US"/>
        </w:rPr>
        <w:t>Hotel</w:t>
      </w:r>
      <w:r w:rsidRPr="005A4C54">
        <w:rPr>
          <w:rFonts w:ascii="Calibri" w:hAnsi="Calibri" w:cs="Arial"/>
          <w:b/>
          <w:i/>
          <w:u w:val="single"/>
          <w:lang w:val="el-GR"/>
        </w:rPr>
        <w:t xml:space="preserve"> </w:t>
      </w:r>
    </w:p>
    <w:p w:rsidR="00FF0BC6" w:rsidRPr="00A91CAC" w:rsidRDefault="00FF0BC6" w:rsidP="00FF0BC6">
      <w:pPr>
        <w:spacing w:line="340" w:lineRule="atLeast"/>
        <w:jc w:val="both"/>
        <w:rPr>
          <w:rFonts w:ascii="Calibri" w:hAnsi="Calibri" w:cs="Arial"/>
          <w:lang w:val="el-GR"/>
        </w:rPr>
      </w:pPr>
      <w:r w:rsidRPr="00A91CAC">
        <w:rPr>
          <w:rFonts w:ascii="Calibri" w:hAnsi="Calibri" w:cs="Arial"/>
          <w:lang w:val="el-GR"/>
        </w:rPr>
        <w:t>Το Γραφείο Προγραμματισμού, ως Διαχειριστική Αρχή των Διαρθρωτικών Ταμείων και του Ταμείου Συνοχής, διοργάνωσε σήμερα την 6</w:t>
      </w:r>
      <w:r w:rsidRPr="00A91CAC">
        <w:rPr>
          <w:rFonts w:ascii="Calibri" w:hAnsi="Calibri" w:cs="Arial"/>
          <w:vertAlign w:val="superscript"/>
          <w:lang w:val="el-GR"/>
        </w:rPr>
        <w:t>η</w:t>
      </w:r>
      <w:r w:rsidRPr="00A91CAC">
        <w:rPr>
          <w:rFonts w:ascii="Calibri" w:hAnsi="Calibri" w:cs="Arial"/>
          <w:lang w:val="el-GR"/>
        </w:rPr>
        <w:t xml:space="preserve"> ετήσια Συνεδρία της Επιτροπής Παρακολούθησης των Επιχειρησιακών Προγραμμάτων «Αειφόρος Ανάπτυξη και Ανταγωνιστικότητα» και «Απασχόληση, Ανθρώπινο Κεφάλαιο και Κοινωνική Συνοχή», που συγχρηματοδοτούνται από τα Ταμεία της ΕΕ την προγραμματική περίοδο 2007 – 2013.</w:t>
      </w:r>
    </w:p>
    <w:p w:rsidR="00FF0BC6" w:rsidRPr="00A91CAC" w:rsidRDefault="00FF0BC6" w:rsidP="00FF0BC6">
      <w:pPr>
        <w:spacing w:line="340" w:lineRule="atLeast"/>
        <w:jc w:val="both"/>
        <w:rPr>
          <w:rFonts w:ascii="Calibri" w:hAnsi="Calibri" w:cs="Arial"/>
          <w:lang w:val="el-GR"/>
        </w:rPr>
      </w:pPr>
    </w:p>
    <w:p w:rsidR="00FF0BC6" w:rsidRPr="00A91CAC" w:rsidRDefault="00FF0BC6" w:rsidP="00FF0BC6">
      <w:pPr>
        <w:spacing w:line="340" w:lineRule="atLeast"/>
        <w:jc w:val="both"/>
        <w:rPr>
          <w:rFonts w:ascii="Calibri" w:hAnsi="Calibri" w:cs="Arial"/>
          <w:lang w:val="el-GR"/>
        </w:rPr>
      </w:pPr>
      <w:r w:rsidRPr="00A91CAC">
        <w:rPr>
          <w:rFonts w:ascii="Calibri" w:hAnsi="Calibri" w:cs="Arial"/>
          <w:lang w:val="el-GR"/>
        </w:rPr>
        <w:t xml:space="preserve">Στην Επιτροπή συμμετείχαν φορείς του ευρύτερου δημόσιου τομέα, των αρχών τοπικής αυτοδιοίκησης, των οικονομικών και κοινωνικών εταίρων και μη κυβερνητικών οργανώσεων. Στην Επιτροπή συμμετείχαν επίσης, με συμβουλευτικό χαρακτήρα, αξιωματούχοι της Ευρωπαϊκής Επιτροπής. </w:t>
      </w:r>
    </w:p>
    <w:p w:rsidR="00FF0BC6" w:rsidRPr="00A91CAC" w:rsidRDefault="00FF0BC6" w:rsidP="00FF0BC6">
      <w:pPr>
        <w:spacing w:line="340" w:lineRule="atLeast"/>
        <w:jc w:val="both"/>
        <w:rPr>
          <w:rFonts w:ascii="Calibri" w:hAnsi="Calibri" w:cs="Arial"/>
          <w:lang w:val="el-GR"/>
        </w:rPr>
      </w:pPr>
    </w:p>
    <w:p w:rsidR="00FF0BC6" w:rsidRPr="00A91CAC" w:rsidRDefault="00FF0BC6" w:rsidP="00FF0BC6">
      <w:pPr>
        <w:spacing w:line="340" w:lineRule="atLeast"/>
        <w:jc w:val="both"/>
        <w:rPr>
          <w:rFonts w:ascii="Calibri" w:hAnsi="Calibri" w:cs="Arial"/>
          <w:lang w:val="el-GR"/>
        </w:rPr>
      </w:pPr>
      <w:r w:rsidRPr="00A91CAC">
        <w:rPr>
          <w:rFonts w:ascii="Calibri" w:hAnsi="Calibri" w:cs="Arial"/>
          <w:lang w:val="el-GR"/>
        </w:rPr>
        <w:t>Βασικός ρόλος της Επιτροπής είναι η παρακολούθηση της πορείας υλοποίησης των προγραμμάτων που συγχρηματοδοτούνται από τα Ταμεία της ΕΕ.  Πρωταρχικός στόχος της εν λόγω Συνεδρίας ήταν η αξιολόγηση της προόδου που έχει επιτευχθεί μέχρι σήμερα στην υλοποίηση του κάθε προγράμματος, η έγκριση των Ετήσιων Εκθέσεων Εκτέλεσης για το έτος 2011 καθώς και η έγκριση του αναθεωρημένου Σχεδίου Επικοινωνίας.</w:t>
      </w:r>
    </w:p>
    <w:p w:rsidR="00FF0BC6" w:rsidRPr="00A91CAC" w:rsidRDefault="00FF0BC6" w:rsidP="00FF0BC6">
      <w:pPr>
        <w:spacing w:line="340" w:lineRule="atLeast"/>
        <w:jc w:val="both"/>
        <w:rPr>
          <w:rFonts w:asciiTheme="minorHAnsi" w:hAnsiTheme="minorHAnsi" w:cstheme="minorHAnsi"/>
          <w:lang w:val="el-GR"/>
        </w:rPr>
      </w:pPr>
    </w:p>
    <w:p w:rsidR="00FF0BC6" w:rsidRPr="00A91CAC" w:rsidRDefault="00FF0BC6" w:rsidP="00FF0BC6">
      <w:pPr>
        <w:spacing w:line="340" w:lineRule="atLeast"/>
        <w:jc w:val="both"/>
        <w:rPr>
          <w:rFonts w:asciiTheme="minorHAnsi" w:hAnsiTheme="minorHAnsi" w:cstheme="minorHAnsi"/>
          <w:lang w:val="el-GR"/>
        </w:rPr>
      </w:pPr>
      <w:r w:rsidRPr="00A91CAC">
        <w:rPr>
          <w:rFonts w:asciiTheme="minorHAnsi" w:hAnsiTheme="minorHAnsi" w:cstheme="minorHAnsi"/>
          <w:lang w:val="el-GR"/>
        </w:rPr>
        <w:t>Στη Συνεδρία απ</w:t>
      </w:r>
      <w:r w:rsidR="00155327">
        <w:rPr>
          <w:rFonts w:asciiTheme="minorHAnsi" w:hAnsiTheme="minorHAnsi" w:cstheme="minorHAnsi"/>
          <w:lang w:val="el-GR"/>
        </w:rPr>
        <w:t>η</w:t>
      </w:r>
      <w:r w:rsidRPr="00A91CAC">
        <w:rPr>
          <w:rFonts w:asciiTheme="minorHAnsi" w:hAnsiTheme="minorHAnsi" w:cstheme="minorHAnsi"/>
          <w:lang w:val="el-GR"/>
        </w:rPr>
        <w:t xml:space="preserve">ύθυνε χαιρετισμό, </w:t>
      </w:r>
      <w:r w:rsidRPr="00A91CAC">
        <w:rPr>
          <w:rFonts w:asciiTheme="minorHAnsi" w:hAnsiTheme="minorHAnsi" w:cstheme="minorHAnsi"/>
          <w:iCs/>
          <w:lang w:val="el-GR" w:eastAsia="en-US"/>
        </w:rPr>
        <w:t>εκ μέρους του  Γενικού Διευθυντή του</w:t>
      </w:r>
      <w:r w:rsidRPr="00A91CAC">
        <w:rPr>
          <w:rFonts w:asciiTheme="minorHAnsi" w:hAnsiTheme="minorHAnsi" w:cstheme="minorHAnsi"/>
          <w:lang w:val="el-GR"/>
        </w:rPr>
        <w:t xml:space="preserve"> Γραφείου Προγραμματισμού</w:t>
      </w:r>
      <w:r w:rsidRPr="00F43417">
        <w:rPr>
          <w:rFonts w:asciiTheme="minorHAnsi" w:hAnsiTheme="minorHAnsi" w:cstheme="minorHAnsi"/>
          <w:lang w:val="el-GR"/>
        </w:rPr>
        <w:t>,</w:t>
      </w:r>
      <w:r w:rsidRPr="00A91CAC">
        <w:rPr>
          <w:rFonts w:asciiTheme="minorHAnsi" w:hAnsiTheme="minorHAnsi" w:cstheme="minorHAnsi"/>
          <w:lang w:val="el-GR"/>
        </w:rPr>
        <w:t xml:space="preserve"> </w:t>
      </w:r>
      <w:r w:rsidRPr="00A91CAC">
        <w:rPr>
          <w:rFonts w:asciiTheme="minorHAnsi" w:hAnsiTheme="minorHAnsi" w:cstheme="minorHAnsi"/>
          <w:iCs/>
          <w:lang w:val="el-GR" w:eastAsia="en-US"/>
        </w:rPr>
        <w:t>η κα. Χρύσω Μιχαήλ</w:t>
      </w:r>
      <w:r w:rsidRPr="00F43417">
        <w:rPr>
          <w:rFonts w:asciiTheme="minorHAnsi" w:hAnsiTheme="minorHAnsi" w:cstheme="minorHAnsi"/>
          <w:iCs/>
          <w:lang w:val="el-GR" w:eastAsia="en-US"/>
        </w:rPr>
        <w:t>,</w:t>
      </w:r>
      <w:r w:rsidRPr="00A91CAC">
        <w:rPr>
          <w:rFonts w:asciiTheme="minorHAnsi" w:hAnsiTheme="minorHAnsi" w:cstheme="minorHAnsi"/>
          <w:lang w:val="el-GR"/>
        </w:rPr>
        <w:t xml:space="preserve"> Διευθύντρια Συντονισμού </w:t>
      </w:r>
      <w:r>
        <w:rPr>
          <w:rFonts w:asciiTheme="minorHAnsi" w:hAnsiTheme="minorHAnsi" w:cstheme="minorHAnsi"/>
          <w:lang w:val="el-GR"/>
        </w:rPr>
        <w:t>σ</w:t>
      </w:r>
      <w:r w:rsidRPr="00A91CAC">
        <w:rPr>
          <w:rFonts w:asciiTheme="minorHAnsi" w:hAnsiTheme="minorHAnsi" w:cstheme="minorHAnsi"/>
          <w:lang w:val="el-GR"/>
        </w:rPr>
        <w:t>το Γραφείο Προγραμματισμού</w:t>
      </w:r>
      <w:r w:rsidRPr="00A91CAC">
        <w:rPr>
          <w:rFonts w:asciiTheme="minorHAnsi" w:hAnsiTheme="minorHAnsi" w:cstheme="minorHAnsi"/>
          <w:iCs/>
          <w:lang w:val="el-GR" w:eastAsia="en-US"/>
        </w:rPr>
        <w:t xml:space="preserve">, </w:t>
      </w:r>
      <w:r w:rsidRPr="00A91CAC">
        <w:rPr>
          <w:rFonts w:asciiTheme="minorHAnsi" w:hAnsiTheme="minorHAnsi" w:cstheme="minorHAnsi"/>
          <w:lang w:val="el-GR"/>
        </w:rPr>
        <w:t xml:space="preserve">και εκπρόσωποι της Ευρωπαϊκής Επιτροπής. </w:t>
      </w:r>
    </w:p>
    <w:p w:rsidR="00FF0BC6" w:rsidRPr="00A91CAC" w:rsidRDefault="00FF0BC6" w:rsidP="00FF0BC6">
      <w:pPr>
        <w:spacing w:line="340" w:lineRule="atLeast"/>
        <w:jc w:val="both"/>
        <w:rPr>
          <w:rFonts w:ascii="Calibri" w:hAnsi="Calibri" w:cs="Arial"/>
          <w:lang w:val="el-GR"/>
        </w:rPr>
      </w:pPr>
    </w:p>
    <w:p w:rsidR="00FF0BC6" w:rsidRPr="00A91CAC" w:rsidRDefault="00FF0BC6" w:rsidP="00FF0BC6">
      <w:pPr>
        <w:pStyle w:val="BodyText3"/>
        <w:spacing w:line="276" w:lineRule="auto"/>
        <w:jc w:val="both"/>
        <w:rPr>
          <w:rFonts w:asciiTheme="minorHAnsi" w:hAnsiTheme="minorHAnsi" w:cstheme="minorHAnsi"/>
          <w:szCs w:val="24"/>
        </w:rPr>
      </w:pPr>
      <w:r w:rsidRPr="00A91CAC">
        <w:rPr>
          <w:rFonts w:ascii="Calibri" w:hAnsi="Calibri" w:cs="Calibri"/>
          <w:szCs w:val="24"/>
        </w:rPr>
        <w:t>Στο χαιρετισμό της, η κ</w:t>
      </w:r>
      <w:r w:rsidRPr="00A91CAC">
        <w:rPr>
          <w:rFonts w:asciiTheme="minorHAnsi" w:hAnsiTheme="minorHAnsi" w:cstheme="minorHAnsi"/>
          <w:szCs w:val="24"/>
        </w:rPr>
        <w:t xml:space="preserve">. </w:t>
      </w:r>
      <w:r w:rsidRPr="00A91CAC">
        <w:rPr>
          <w:rFonts w:asciiTheme="minorHAnsi" w:hAnsiTheme="minorHAnsi" w:cstheme="minorHAnsi"/>
          <w:iCs/>
          <w:szCs w:val="24"/>
        </w:rPr>
        <w:t>κα. Μιχαήλ</w:t>
      </w:r>
      <w:r w:rsidRPr="00A91CAC">
        <w:rPr>
          <w:rFonts w:asciiTheme="minorHAnsi" w:hAnsiTheme="minorHAnsi" w:cstheme="minorHAnsi"/>
          <w:szCs w:val="24"/>
        </w:rPr>
        <w:t xml:space="preserve"> επεσήμανε την ικανοποιητική πρόοδο η οποία έχει επιτευχθεί στην υλοποίηση των Προγραμμάτων αφού, μέχρι σήμερα, έχουν ενταχθεί και στα δύο Προγράμματα συνολικά 3.690 έργα, τα οποία αντιστοιχούν σε δημόσια δαπάνη ύψους €835 εκ. περίπου. Συγκεκριμένα το Πρόγραμμα «Αειφόρος Ανάπτυξη και Ανταγωνιστικότητα» έχει ήδη υπερδεσμευτεί, ενώ υπερδέσμευση προγραμματίζεται και στα πλαίσια του Προγράμματος  για την Απασχόληση, Ανθρώπινο Κεφάλαιο και Κοινωνική Συνοχή με στόχο τη διασφάλιση της πλήρους απορρόφησης. Η </w:t>
      </w:r>
      <w:r w:rsidRPr="00A91CAC">
        <w:rPr>
          <w:rFonts w:asciiTheme="minorHAnsi" w:hAnsiTheme="minorHAnsi" w:cstheme="minorHAnsi"/>
          <w:iCs/>
          <w:szCs w:val="24"/>
        </w:rPr>
        <w:t>κα. Μιχαήλ</w:t>
      </w:r>
      <w:r w:rsidRPr="00A91CAC">
        <w:rPr>
          <w:rFonts w:asciiTheme="minorHAnsi" w:hAnsiTheme="minorHAnsi" w:cstheme="minorHAnsi"/>
          <w:szCs w:val="24"/>
        </w:rPr>
        <w:t xml:space="preserve"> έκανε επίσης ειδική αναφορά στα μέτρα που προωθούνται μέσα από τα Προγράμματα για</w:t>
      </w:r>
      <w:r w:rsidRPr="00A91CAC">
        <w:rPr>
          <w:rFonts w:ascii="Calibri" w:hAnsi="Calibri" w:cs="Arial"/>
          <w:szCs w:val="24"/>
        </w:rPr>
        <w:t xml:space="preserve"> την αντιμετώπιση των επιπτώσεων της διεθνούς οικονομικής κρίσης και στην προτεραιότητα που δίδεται για την αντιμετώπιση της ανεργίας και την ενίσχυση της απασχόλησης, όπως </w:t>
      </w:r>
      <w:r w:rsidRPr="00A91CAC">
        <w:rPr>
          <w:rFonts w:asciiTheme="minorHAnsi" w:hAnsiTheme="minorHAnsi" w:cstheme="minorHAnsi"/>
          <w:szCs w:val="24"/>
        </w:rPr>
        <w:t xml:space="preserve">επίσης και για την στήριξη των Μικρομεσαίων Επιχειρήσεων. </w:t>
      </w:r>
    </w:p>
    <w:p w:rsidR="00FF0BC6" w:rsidRPr="00A91CAC" w:rsidRDefault="00FF0BC6" w:rsidP="00FF0BC6">
      <w:pPr>
        <w:pStyle w:val="BodyText3"/>
        <w:spacing w:line="276" w:lineRule="auto"/>
        <w:jc w:val="both"/>
        <w:rPr>
          <w:rFonts w:asciiTheme="minorHAnsi" w:hAnsiTheme="minorHAnsi" w:cstheme="minorHAnsi"/>
          <w:szCs w:val="24"/>
        </w:rPr>
      </w:pPr>
    </w:p>
    <w:p w:rsidR="00FF0BC6" w:rsidRPr="005D0194" w:rsidRDefault="00FF0BC6" w:rsidP="00FF0BC6">
      <w:pPr>
        <w:spacing w:line="340" w:lineRule="atLeast"/>
        <w:jc w:val="both"/>
        <w:rPr>
          <w:rFonts w:asciiTheme="minorHAnsi" w:hAnsiTheme="minorHAnsi" w:cstheme="minorHAnsi"/>
          <w:iCs/>
          <w:lang w:val="el-GR" w:eastAsia="en-US"/>
        </w:rPr>
      </w:pPr>
      <w:r w:rsidRPr="00A91CAC">
        <w:rPr>
          <w:rFonts w:asciiTheme="minorHAnsi" w:hAnsiTheme="minorHAnsi" w:cstheme="minorHAnsi"/>
          <w:iCs/>
          <w:lang w:val="el-GR" w:eastAsia="en-US"/>
        </w:rPr>
        <w:t>Στις εισαγωγικές τους ομιλίες</w:t>
      </w:r>
      <w:r>
        <w:rPr>
          <w:rFonts w:asciiTheme="minorHAnsi" w:hAnsiTheme="minorHAnsi" w:cstheme="minorHAnsi"/>
          <w:iCs/>
          <w:lang w:val="el-GR" w:eastAsia="en-US"/>
        </w:rPr>
        <w:t xml:space="preserve"> τόσο</w:t>
      </w:r>
      <w:r w:rsidRPr="00A91CAC">
        <w:rPr>
          <w:rFonts w:asciiTheme="minorHAnsi" w:hAnsiTheme="minorHAnsi" w:cstheme="minorHAnsi"/>
          <w:iCs/>
          <w:lang w:val="el-GR" w:eastAsia="en-US"/>
        </w:rPr>
        <w:t xml:space="preserve"> η κα. Χρύσω Μιχαήλ όσο και οι εκπρόσωποι της Ευρωπαϊκής Επιτροπής αναφέρθηκαν, μεταξύ άλλων,  στη σημαντική χρονικά στιγμή που πραγματοποιείται η συνεδρία της Επιτροπής Παρακολούθησης</w:t>
      </w:r>
      <w:r>
        <w:rPr>
          <w:rFonts w:asciiTheme="minorHAnsi" w:hAnsiTheme="minorHAnsi" w:cstheme="minorHAnsi"/>
          <w:iCs/>
          <w:lang w:val="el-GR" w:eastAsia="en-US"/>
        </w:rPr>
        <w:t>,</w:t>
      </w:r>
      <w:r w:rsidRPr="00A91CAC">
        <w:rPr>
          <w:rFonts w:asciiTheme="minorHAnsi" w:hAnsiTheme="minorHAnsi" w:cstheme="minorHAnsi"/>
          <w:iCs/>
          <w:lang w:val="el-GR" w:eastAsia="en-US"/>
        </w:rPr>
        <w:t xml:space="preserve"> 10 μέρες πριν την ανάληψη της Προεδρίας του Συμβουλίου της ΕΕ από την Κύπρο. Εκτενής αναφορά έγινε και στις βασικές πρόνοιες των νέων Κανονισμών που θα διέπουν την Πολιτική Συνοχής 2014-2020 και ιδιαίτερα στην προτεινόμενη επικέντρωση των επενδύσεων στους θεματικούς στόχους και προτεραιότητες της Στρατηγικής Ευρώπη 2020 με στόχο την αύξηση της αποτελεσματικότητας των παρεμβάσεων. Η Διαχειριστική Αρχή επεσήμανε ότι έχει ήδη προβεί σε προκαταρκτικές ενέργειες προετοιμασίας για τον προγραμματισμό της νέας περιόδου.</w:t>
      </w:r>
      <w:r w:rsidRPr="00F43417">
        <w:rPr>
          <w:rFonts w:ascii="Arial" w:hAnsi="Arial" w:cs="Arial"/>
          <w:sz w:val="26"/>
          <w:szCs w:val="26"/>
          <w:lang w:val="el-GR"/>
        </w:rPr>
        <w:t xml:space="preserve"> </w:t>
      </w:r>
      <w:r w:rsidRPr="00F43417">
        <w:rPr>
          <w:rFonts w:asciiTheme="minorHAnsi" w:hAnsiTheme="minorHAnsi" w:cstheme="minorHAnsi"/>
          <w:iCs/>
          <w:lang w:val="el-GR" w:eastAsia="en-US"/>
        </w:rPr>
        <w:t xml:space="preserve">Οι εκπρόσωποι της Ευρωπαϊκής Επιτροπής συνεχάρηκαν τις Κυπριακές Αρχές για </w:t>
      </w:r>
      <w:r w:rsidR="00155327">
        <w:rPr>
          <w:rFonts w:asciiTheme="minorHAnsi" w:hAnsiTheme="minorHAnsi" w:cstheme="minorHAnsi"/>
          <w:iCs/>
          <w:lang w:val="el-GR" w:eastAsia="en-US"/>
        </w:rPr>
        <w:t>την απόφαση της Ευρωπαϊκής Επιτροπής να ενεργοποιήσει το άρθρο 73 του κανονισμού 10/83 του 2006 για την υπογραφή «Συμφωνίας Εμπιστοσύνης» με την Υπηρεσία Εσωτερικού Ελέγχου</w:t>
      </w:r>
      <w:r w:rsidRPr="00F43417">
        <w:rPr>
          <w:rFonts w:asciiTheme="minorHAnsi" w:hAnsiTheme="minorHAnsi" w:cstheme="minorHAnsi"/>
          <w:iCs/>
          <w:lang w:val="el-GR" w:eastAsia="en-US"/>
        </w:rPr>
        <w:t>, μέσω του οποίου η Ευρωπαϊκή Επιτροπή ουσιαστικά εκφράζει την εμπιστοσύνη της στο Σύστημα Διαχείρισης και Ελέγχου που εφαρμόζεται στην Κύπρο.</w:t>
      </w:r>
    </w:p>
    <w:p w:rsidR="00FF0BC6" w:rsidRPr="005D0194" w:rsidRDefault="00FF0BC6" w:rsidP="00FF0BC6">
      <w:pPr>
        <w:spacing w:line="340" w:lineRule="atLeast"/>
        <w:jc w:val="both"/>
        <w:rPr>
          <w:rFonts w:asciiTheme="minorHAnsi" w:hAnsiTheme="minorHAnsi" w:cstheme="minorHAnsi"/>
          <w:iCs/>
          <w:lang w:val="el-GR" w:eastAsia="en-US"/>
        </w:rPr>
      </w:pPr>
    </w:p>
    <w:p w:rsidR="00B72B2F" w:rsidRDefault="00FF0BC6" w:rsidP="00155327">
      <w:pPr>
        <w:spacing w:line="340" w:lineRule="atLeast"/>
        <w:jc w:val="both"/>
        <w:rPr>
          <w:rFonts w:ascii="Calibri" w:hAnsi="Calibri" w:cs="Calibri"/>
          <w:lang w:val="el-GR"/>
        </w:rPr>
      </w:pPr>
      <w:r w:rsidRPr="00A91CAC">
        <w:rPr>
          <w:rFonts w:ascii="Calibri" w:hAnsi="Calibri" w:cs="Calibri"/>
          <w:lang w:val="el-GR"/>
        </w:rPr>
        <w:t xml:space="preserve">Η Επιτροπή </w:t>
      </w:r>
      <w:r w:rsidR="00B72B2F">
        <w:rPr>
          <w:rFonts w:ascii="Calibri" w:hAnsi="Calibri" w:cs="Calibri"/>
          <w:lang w:val="el-GR"/>
        </w:rPr>
        <w:t xml:space="preserve">Παρακολούθησης </w:t>
      </w:r>
      <w:r w:rsidRPr="00A91CAC">
        <w:rPr>
          <w:rFonts w:ascii="Calibri" w:hAnsi="Calibri" w:cs="Calibri"/>
          <w:lang w:val="el-GR"/>
        </w:rPr>
        <w:t>ενέκρινε τις Ετήσιες Εκθέσεις Εκτέλεσης για το έτος 2011 καθώς και τις προτεινόμενες τροποποιήσεις του Σχεδίου Επικοινωνίας</w:t>
      </w:r>
      <w:r>
        <w:rPr>
          <w:rFonts w:ascii="Calibri" w:hAnsi="Calibri" w:cs="Calibri"/>
          <w:lang w:val="el-GR"/>
        </w:rPr>
        <w:t>.</w:t>
      </w:r>
      <w:r w:rsidR="00155327">
        <w:rPr>
          <w:rFonts w:ascii="Calibri" w:hAnsi="Calibri" w:cs="Calibri"/>
          <w:lang w:val="el-GR"/>
        </w:rPr>
        <w:t xml:space="preserve"> </w:t>
      </w:r>
    </w:p>
    <w:p w:rsidR="00B72B2F" w:rsidRDefault="00B72B2F" w:rsidP="00155327">
      <w:pPr>
        <w:spacing w:line="340" w:lineRule="atLeast"/>
        <w:jc w:val="both"/>
        <w:rPr>
          <w:rFonts w:ascii="Calibri" w:hAnsi="Calibri" w:cs="Calibri"/>
          <w:lang w:val="el-GR"/>
        </w:rPr>
      </w:pPr>
    </w:p>
    <w:p w:rsidR="00FF0BC6" w:rsidRPr="00A91CAC" w:rsidRDefault="00FF0BC6" w:rsidP="00155327">
      <w:pPr>
        <w:spacing w:line="340" w:lineRule="atLeast"/>
        <w:jc w:val="both"/>
        <w:rPr>
          <w:rFonts w:ascii="Calibri" w:hAnsi="Calibri" w:cs="Calibri"/>
          <w:lang w:val="el-GR"/>
        </w:rPr>
      </w:pPr>
      <w:r w:rsidRPr="00A91CAC">
        <w:rPr>
          <w:rFonts w:ascii="Calibri" w:hAnsi="Calibri" w:cs="Calibri"/>
          <w:lang w:val="el-GR"/>
        </w:rPr>
        <w:t xml:space="preserve">Στην Επιτροπή παρουσιάστηκαν επίσης </w:t>
      </w:r>
      <w:r w:rsidRPr="00A91CAC">
        <w:rPr>
          <w:rFonts w:ascii="Calibri" w:hAnsi="Calibri" w:cs="Calibri"/>
          <w:bCs/>
          <w:lang w:val="el-GR"/>
        </w:rPr>
        <w:t>τα κύρια Αποτελέσματα της Μελέτης Αξιολόγησης για την Πορεία Υλοποίησης των δύο ΕΠ και των Περιβαλλοντικών Επιπτώσεων από την Υλοποίηση του ΕΠ «Αειφόρος Ανάπτυξη και Ανταγωνιστικότητα»</w:t>
      </w:r>
      <w:r w:rsidRPr="00A91CAC">
        <w:rPr>
          <w:rFonts w:ascii="Calibri" w:hAnsi="Calibri" w:cs="Calibri"/>
          <w:lang w:val="el-GR"/>
        </w:rPr>
        <w:t xml:space="preserve">, που εκπονήθηκε από ανεξάρτητους εξωτερικούς αξιολογητές </w:t>
      </w:r>
    </w:p>
    <w:p w:rsidR="00FF0BC6" w:rsidRPr="00A91CAC" w:rsidRDefault="00FF0BC6" w:rsidP="00FF0BC6">
      <w:pPr>
        <w:autoSpaceDE w:val="0"/>
        <w:autoSpaceDN w:val="0"/>
        <w:adjustRightInd w:val="0"/>
        <w:spacing w:line="340" w:lineRule="atLeast"/>
        <w:jc w:val="both"/>
        <w:rPr>
          <w:rFonts w:ascii="Calibri" w:hAnsi="Calibri" w:cs="Calibri"/>
          <w:lang w:val="el-GR"/>
        </w:rPr>
      </w:pPr>
    </w:p>
    <w:p w:rsidR="00FF0BC6" w:rsidRPr="00A91CAC" w:rsidRDefault="00FF0BC6" w:rsidP="00FF0BC6">
      <w:pPr>
        <w:autoSpaceDE w:val="0"/>
        <w:autoSpaceDN w:val="0"/>
        <w:adjustRightInd w:val="0"/>
        <w:spacing w:line="340" w:lineRule="atLeast"/>
        <w:jc w:val="both"/>
        <w:rPr>
          <w:rFonts w:ascii="Arial" w:hAnsi="Arial" w:cs="Arial"/>
          <w:bCs/>
          <w:lang w:val="el-GR"/>
        </w:rPr>
      </w:pPr>
      <w:r w:rsidRPr="00A91CAC">
        <w:rPr>
          <w:rFonts w:ascii="Calibri" w:hAnsi="Calibri" w:cs="Calibri"/>
          <w:bCs/>
          <w:lang w:val="el-GR"/>
        </w:rPr>
        <w:t xml:space="preserve">Παρουσιάστηκε </w:t>
      </w:r>
      <w:r w:rsidRPr="00A91CAC">
        <w:rPr>
          <w:rFonts w:ascii="Calibri" w:hAnsi="Calibri" w:cs="Calibri"/>
          <w:lang w:val="el-GR"/>
        </w:rPr>
        <w:t xml:space="preserve">επίσης η πρόοδος στην εφαρμογή </w:t>
      </w:r>
      <w:r w:rsidRPr="00A91CAC">
        <w:rPr>
          <w:rFonts w:ascii="Calibri" w:hAnsi="Calibri" w:cs="Calibri"/>
          <w:bCs/>
          <w:lang w:val="el-GR"/>
        </w:rPr>
        <w:t>των Σχεδίων Χορηγιών που εντάσσονται στο ΕΠ «Αειφόρος Ανάπτυξη και Ανταγωνιστικότητα» και αφορούν στη στήριξη ΜΜΕ και βελτίωση της ανταγωνιστικότητας, τα οποία συγχρηματοδοτούνται από το Ευρωπαϊκό Ταμείο Περιφερειακής Ανάπτυξης.</w:t>
      </w:r>
    </w:p>
    <w:p w:rsidR="00FF0BC6" w:rsidRPr="00A91CAC" w:rsidRDefault="00FF0BC6" w:rsidP="00FF0BC6">
      <w:pPr>
        <w:spacing w:line="340" w:lineRule="atLeast"/>
        <w:jc w:val="both"/>
        <w:rPr>
          <w:rFonts w:ascii="Calibri" w:hAnsi="Calibri" w:cs="Calibri"/>
          <w:lang w:val="el-GR"/>
        </w:rPr>
      </w:pPr>
    </w:p>
    <w:p w:rsidR="00FF0BC6" w:rsidRPr="00B72B2F" w:rsidRDefault="00FF0BC6" w:rsidP="00FF0BC6">
      <w:pPr>
        <w:spacing w:line="340" w:lineRule="atLeast"/>
        <w:jc w:val="both"/>
        <w:rPr>
          <w:rFonts w:ascii="Arial" w:hAnsi="Arial" w:cs="Arial"/>
          <w:bCs/>
          <w:lang w:val="el-GR"/>
        </w:rPr>
      </w:pPr>
      <w:r w:rsidRPr="00A91CAC">
        <w:rPr>
          <w:rFonts w:ascii="Calibri" w:hAnsi="Calibri" w:cs="Calibri"/>
          <w:lang w:val="el-GR"/>
        </w:rPr>
        <w:t xml:space="preserve">Τέλος, προβλήθηκε ολιγόλεπτο </w:t>
      </w:r>
      <w:r w:rsidRPr="00A91CAC">
        <w:rPr>
          <w:rFonts w:ascii="Calibri" w:hAnsi="Calibri" w:cs="Calibri"/>
          <w:bCs/>
          <w:lang w:val="el-GR"/>
        </w:rPr>
        <w:t xml:space="preserve">Φιλμ - Ντοκιμαντέρ με προσωπικές ιστορίες ατόμων που επωφελήθηκαν από Σχέδια Χορηγιών του Ευρωπαϊκού Κοινωνικού Ταμείου. </w:t>
      </w:r>
    </w:p>
    <w:p w:rsidR="00FF0BC6" w:rsidRPr="00C42FFC" w:rsidRDefault="00FF0BC6" w:rsidP="00FF0BC6">
      <w:pPr>
        <w:spacing w:line="340" w:lineRule="atLeast"/>
        <w:jc w:val="both"/>
        <w:rPr>
          <w:rFonts w:ascii="Calibri" w:hAnsi="Calibri" w:cs="Arial"/>
          <w:lang w:val="el-GR"/>
        </w:rPr>
      </w:pPr>
    </w:p>
    <w:p w:rsidR="00FF0BC6" w:rsidRPr="001E1978" w:rsidRDefault="00FF0BC6" w:rsidP="00FF0BC6">
      <w:pPr>
        <w:spacing w:line="340" w:lineRule="atLeast"/>
        <w:jc w:val="center"/>
        <w:rPr>
          <w:rFonts w:ascii="Calibri" w:hAnsi="Calibri" w:cs="Arial"/>
          <w:sz w:val="22"/>
          <w:szCs w:val="22"/>
          <w:lang w:val="el-GR"/>
        </w:rPr>
      </w:pPr>
      <w:r>
        <w:rPr>
          <w:rFonts w:ascii="Arial" w:hAnsi="Arial" w:cs="Arial"/>
          <w:sz w:val="22"/>
          <w:szCs w:val="22"/>
          <w:lang w:val="el-GR"/>
        </w:rPr>
        <w:t xml:space="preserve">                                   </w:t>
      </w:r>
      <w:r w:rsidRPr="001E1978">
        <w:rPr>
          <w:rFonts w:ascii="Calibri" w:hAnsi="Calibri" w:cs="Arial"/>
          <w:sz w:val="22"/>
          <w:szCs w:val="22"/>
          <w:lang w:val="el-GR"/>
        </w:rPr>
        <w:t>2</w:t>
      </w:r>
      <w:r>
        <w:rPr>
          <w:rFonts w:ascii="Calibri" w:hAnsi="Calibri" w:cs="Arial"/>
          <w:sz w:val="22"/>
          <w:szCs w:val="22"/>
          <w:lang w:val="el-GR"/>
        </w:rPr>
        <w:t>0</w:t>
      </w:r>
      <w:r w:rsidRPr="001E1978">
        <w:rPr>
          <w:rFonts w:ascii="Calibri" w:hAnsi="Calibri" w:cs="Arial"/>
          <w:sz w:val="22"/>
          <w:szCs w:val="22"/>
          <w:lang w:val="el-GR"/>
        </w:rPr>
        <w:t xml:space="preserve"> Ιουνίου 201</w:t>
      </w:r>
      <w:r>
        <w:rPr>
          <w:rFonts w:ascii="Calibri" w:hAnsi="Calibri" w:cs="Arial"/>
          <w:sz w:val="22"/>
          <w:szCs w:val="22"/>
          <w:lang w:val="el-GR"/>
        </w:rPr>
        <w:t>2</w:t>
      </w:r>
    </w:p>
    <w:p w:rsidR="00FF0BC6" w:rsidRPr="00C17A9C" w:rsidRDefault="00FF0BC6" w:rsidP="00FF0BC6">
      <w:pPr>
        <w:spacing w:line="340" w:lineRule="atLeast"/>
        <w:jc w:val="center"/>
        <w:rPr>
          <w:rFonts w:ascii="Calibri" w:hAnsi="Calibri" w:cs="Arial"/>
          <w:sz w:val="22"/>
          <w:szCs w:val="22"/>
          <w:lang w:val="el-GR"/>
        </w:rPr>
      </w:pPr>
      <w:r w:rsidRPr="00C17A9C">
        <w:rPr>
          <w:rFonts w:ascii="Calibri" w:hAnsi="Calibri" w:cs="Arial"/>
          <w:sz w:val="22"/>
          <w:szCs w:val="22"/>
          <w:lang w:val="el-GR"/>
        </w:rPr>
        <w:t xml:space="preserve">                                            Γραφείο Προγραμματισμού</w:t>
      </w:r>
    </w:p>
    <w:p w:rsidR="00FF0BC6" w:rsidRPr="00663625" w:rsidRDefault="00FF0BC6" w:rsidP="00FF0BC6">
      <w:pPr>
        <w:spacing w:line="340" w:lineRule="atLeast"/>
        <w:jc w:val="center"/>
        <w:rPr>
          <w:rFonts w:ascii="Calibri" w:hAnsi="Calibri" w:cs="Arial"/>
          <w:sz w:val="22"/>
          <w:szCs w:val="22"/>
          <w:lang w:val="el-GR"/>
        </w:rPr>
      </w:pPr>
      <w:r>
        <w:rPr>
          <w:rFonts w:ascii="Calibri" w:hAnsi="Calibri" w:cs="Arial"/>
          <w:sz w:val="22"/>
          <w:szCs w:val="22"/>
          <w:lang w:val="el-GR"/>
        </w:rPr>
        <w:t xml:space="preserve">                                          </w:t>
      </w:r>
      <w:r w:rsidRPr="00C17A9C">
        <w:rPr>
          <w:rFonts w:ascii="Calibri" w:hAnsi="Calibri" w:cs="Arial"/>
          <w:sz w:val="22"/>
          <w:szCs w:val="22"/>
          <w:lang w:val="el-GR"/>
        </w:rPr>
        <w:t xml:space="preserve">Διαχειριστική Αρχή Διαθρωτικών Ταμείων και Ταμείου Συνοχής  </w:t>
      </w:r>
    </w:p>
    <w:p w:rsidR="00FF0BC6" w:rsidRPr="001E5DA8" w:rsidRDefault="00FF0BC6" w:rsidP="00FF0BC6">
      <w:pPr>
        <w:tabs>
          <w:tab w:val="left" w:pos="9026"/>
        </w:tabs>
        <w:spacing w:line="340" w:lineRule="atLeast"/>
        <w:rPr>
          <w:rFonts w:ascii="Calibri" w:hAnsi="Calibri" w:cs="Arial"/>
          <w:sz w:val="20"/>
          <w:szCs w:val="20"/>
          <w:lang w:val="el-GR"/>
        </w:rPr>
      </w:pPr>
    </w:p>
    <w:p w:rsidR="00FF0BC6" w:rsidRPr="00155327" w:rsidRDefault="00FF0BC6" w:rsidP="00FF0BC6">
      <w:pPr>
        <w:tabs>
          <w:tab w:val="left" w:pos="9026"/>
        </w:tabs>
        <w:spacing w:line="340" w:lineRule="atLeast"/>
        <w:rPr>
          <w:rFonts w:ascii="Calibri" w:hAnsi="Calibri" w:cs="Arial"/>
          <w:sz w:val="20"/>
          <w:szCs w:val="20"/>
          <w:lang w:val="el-GR"/>
        </w:rPr>
      </w:pPr>
      <w:r w:rsidRPr="001E5DA8">
        <w:rPr>
          <w:rFonts w:ascii="Calibri" w:hAnsi="Calibri" w:cs="Arial"/>
          <w:sz w:val="20"/>
          <w:szCs w:val="20"/>
          <w:lang w:val="el-GR"/>
        </w:rPr>
        <w:t>Η Συνεδρία Συγχρηματοδοτήθηκε από το Ευρωπαϊκό Ταμείο Περιφερειακής Ανάπτυξης , το Ευρωπαϊκό Κοινωνικό Ταμείο  και Ταμείο Συνοχής</w:t>
      </w:r>
    </w:p>
    <w:p w:rsidR="00FF0BC6" w:rsidRPr="0053243F" w:rsidRDefault="00FF0BC6" w:rsidP="00FF0BC6">
      <w:pPr>
        <w:tabs>
          <w:tab w:val="left" w:pos="5400"/>
          <w:tab w:val="right" w:pos="9026"/>
        </w:tabs>
        <w:spacing w:line="340" w:lineRule="atLeast"/>
        <w:rPr>
          <w:rFonts w:ascii="Calibri" w:hAnsi="Calibri" w:cs="Arial"/>
          <w:sz w:val="22"/>
          <w:szCs w:val="22"/>
        </w:rPr>
      </w:pPr>
      <w:r>
        <w:rPr>
          <w:lang w:val="el-GR"/>
        </w:rPr>
        <w:t xml:space="preserve">                                                                            </w:t>
      </w:r>
      <w:r>
        <w:rPr>
          <w:noProof/>
          <w:lang w:val="el-GR"/>
        </w:rPr>
        <w:drawing>
          <wp:inline distT="0" distB="0" distL="0" distR="0">
            <wp:extent cx="914400" cy="6762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914400" cy="676275"/>
                    </a:xfrm>
                    <a:prstGeom prst="rect">
                      <a:avLst/>
                    </a:prstGeom>
                    <a:noFill/>
                    <a:ln w="9525">
                      <a:noFill/>
                      <a:miter lim="800000"/>
                      <a:headEnd/>
                      <a:tailEnd/>
                    </a:ln>
                  </pic:spPr>
                </pic:pic>
              </a:graphicData>
            </a:graphic>
          </wp:inline>
        </w:drawing>
      </w:r>
      <w:r>
        <w:rPr>
          <w:noProof/>
          <w:lang w:val="el-GR"/>
        </w:rPr>
        <w:drawing>
          <wp:inline distT="0" distB="0" distL="0" distR="0">
            <wp:extent cx="914400" cy="714375"/>
            <wp:effectExtent l="0" t="0" r="0" b="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914400" cy="714375"/>
                    </a:xfrm>
                    <a:prstGeom prst="rect">
                      <a:avLst/>
                    </a:prstGeom>
                    <a:noFill/>
                    <a:ln w="9525">
                      <a:noFill/>
                      <a:miter lim="800000"/>
                      <a:headEnd/>
                      <a:tailEnd/>
                    </a:ln>
                  </pic:spPr>
                </pic:pic>
              </a:graphicData>
            </a:graphic>
          </wp:inline>
        </w:drawing>
      </w:r>
      <w:r>
        <w:rPr>
          <w:lang w:val="el-GR"/>
        </w:rPr>
        <w:tab/>
        <w:t xml:space="preserve">    </w:t>
      </w:r>
      <w:r>
        <w:rPr>
          <w:noProof/>
          <w:lang w:val="el-GR"/>
        </w:rPr>
        <w:drawing>
          <wp:inline distT="0" distB="0" distL="0" distR="0">
            <wp:extent cx="762000" cy="609600"/>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762000" cy="609600"/>
                    </a:xfrm>
                    <a:prstGeom prst="rect">
                      <a:avLst/>
                    </a:prstGeom>
                    <a:noFill/>
                    <a:ln w="9525">
                      <a:noFill/>
                      <a:miter lim="800000"/>
                      <a:headEnd/>
                      <a:tailEnd/>
                    </a:ln>
                  </pic:spPr>
                </pic:pic>
              </a:graphicData>
            </a:graphic>
          </wp:inline>
        </w:drawing>
      </w:r>
    </w:p>
    <w:p w:rsidR="0091790A" w:rsidRPr="00B72B2F" w:rsidRDefault="0091790A" w:rsidP="00FF0BC6">
      <w:pPr>
        <w:rPr>
          <w:szCs w:val="22"/>
          <w:lang w:val="el-GR"/>
        </w:rPr>
      </w:pPr>
    </w:p>
    <w:sectPr w:rsidR="0091790A" w:rsidRPr="00B72B2F" w:rsidSect="001E5DA8">
      <w:pgSz w:w="11906" w:h="16838"/>
      <w:pgMar w:top="709"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A1C" w:rsidRDefault="007F6A1C" w:rsidP="001E5DA8">
      <w:r>
        <w:separator/>
      </w:r>
    </w:p>
  </w:endnote>
  <w:endnote w:type="continuationSeparator" w:id="0">
    <w:p w:rsidR="007F6A1C" w:rsidRDefault="007F6A1C" w:rsidP="001E5D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A1C" w:rsidRDefault="007F6A1C" w:rsidP="001E5DA8">
      <w:r>
        <w:separator/>
      </w:r>
    </w:p>
  </w:footnote>
  <w:footnote w:type="continuationSeparator" w:id="0">
    <w:p w:rsidR="007F6A1C" w:rsidRDefault="007F6A1C" w:rsidP="001E5D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F02FF5"/>
    <w:rsid w:val="00027EA7"/>
    <w:rsid w:val="000300CA"/>
    <w:rsid w:val="00045461"/>
    <w:rsid w:val="00045B80"/>
    <w:rsid w:val="00055D29"/>
    <w:rsid w:val="000621F4"/>
    <w:rsid w:val="0006705E"/>
    <w:rsid w:val="00097FEF"/>
    <w:rsid w:val="000A3B7A"/>
    <w:rsid w:val="000A7FAA"/>
    <w:rsid w:val="000D4839"/>
    <w:rsid w:val="000F6414"/>
    <w:rsid w:val="001314F2"/>
    <w:rsid w:val="0013528A"/>
    <w:rsid w:val="00155327"/>
    <w:rsid w:val="00192B54"/>
    <w:rsid w:val="001E1978"/>
    <w:rsid w:val="001E1C38"/>
    <w:rsid w:val="001E3370"/>
    <w:rsid w:val="001E5DA8"/>
    <w:rsid w:val="001F6DE6"/>
    <w:rsid w:val="00205900"/>
    <w:rsid w:val="002130B4"/>
    <w:rsid w:val="002215D1"/>
    <w:rsid w:val="00261E26"/>
    <w:rsid w:val="002A564C"/>
    <w:rsid w:val="002B1DAC"/>
    <w:rsid w:val="002B3304"/>
    <w:rsid w:val="002B47DB"/>
    <w:rsid w:val="002C2622"/>
    <w:rsid w:val="002E39A0"/>
    <w:rsid w:val="00316BF5"/>
    <w:rsid w:val="003259B0"/>
    <w:rsid w:val="003354B3"/>
    <w:rsid w:val="0034117E"/>
    <w:rsid w:val="0034139A"/>
    <w:rsid w:val="00341BF2"/>
    <w:rsid w:val="003435A9"/>
    <w:rsid w:val="00343CA4"/>
    <w:rsid w:val="003514E9"/>
    <w:rsid w:val="00371711"/>
    <w:rsid w:val="003C2AC9"/>
    <w:rsid w:val="003C5F1E"/>
    <w:rsid w:val="003E2B1A"/>
    <w:rsid w:val="003F2957"/>
    <w:rsid w:val="003F776A"/>
    <w:rsid w:val="0041500A"/>
    <w:rsid w:val="00424F0C"/>
    <w:rsid w:val="00432D3C"/>
    <w:rsid w:val="00434400"/>
    <w:rsid w:val="00452CDA"/>
    <w:rsid w:val="004621F5"/>
    <w:rsid w:val="00463DC2"/>
    <w:rsid w:val="004741EF"/>
    <w:rsid w:val="0048382A"/>
    <w:rsid w:val="0049658C"/>
    <w:rsid w:val="004A5AD4"/>
    <w:rsid w:val="004B7EA5"/>
    <w:rsid w:val="004D388D"/>
    <w:rsid w:val="004E3FF8"/>
    <w:rsid w:val="004E6C81"/>
    <w:rsid w:val="004F62E5"/>
    <w:rsid w:val="0050748D"/>
    <w:rsid w:val="005154FE"/>
    <w:rsid w:val="0053243F"/>
    <w:rsid w:val="00554F88"/>
    <w:rsid w:val="00577767"/>
    <w:rsid w:val="005A162D"/>
    <w:rsid w:val="005A4C54"/>
    <w:rsid w:val="005A78FB"/>
    <w:rsid w:val="005C30D6"/>
    <w:rsid w:val="005D682F"/>
    <w:rsid w:val="00600B5F"/>
    <w:rsid w:val="00614F1A"/>
    <w:rsid w:val="00630F70"/>
    <w:rsid w:val="006345D2"/>
    <w:rsid w:val="006417BE"/>
    <w:rsid w:val="00663625"/>
    <w:rsid w:val="00694337"/>
    <w:rsid w:val="00695761"/>
    <w:rsid w:val="006B0A83"/>
    <w:rsid w:val="006D2F9F"/>
    <w:rsid w:val="006E4311"/>
    <w:rsid w:val="006F5B33"/>
    <w:rsid w:val="00704549"/>
    <w:rsid w:val="0071251A"/>
    <w:rsid w:val="00715056"/>
    <w:rsid w:val="00720D65"/>
    <w:rsid w:val="00721342"/>
    <w:rsid w:val="00735D08"/>
    <w:rsid w:val="00740033"/>
    <w:rsid w:val="00772F06"/>
    <w:rsid w:val="00780BCB"/>
    <w:rsid w:val="00795E7F"/>
    <w:rsid w:val="007C021E"/>
    <w:rsid w:val="007C0BD4"/>
    <w:rsid w:val="007D102E"/>
    <w:rsid w:val="007F6A1C"/>
    <w:rsid w:val="008054CD"/>
    <w:rsid w:val="00852DEB"/>
    <w:rsid w:val="0085327A"/>
    <w:rsid w:val="00896600"/>
    <w:rsid w:val="008E6488"/>
    <w:rsid w:val="008F08E4"/>
    <w:rsid w:val="008F093A"/>
    <w:rsid w:val="00900178"/>
    <w:rsid w:val="009017F0"/>
    <w:rsid w:val="00902580"/>
    <w:rsid w:val="00906C1B"/>
    <w:rsid w:val="00913679"/>
    <w:rsid w:val="0091790A"/>
    <w:rsid w:val="00934C0D"/>
    <w:rsid w:val="0094371A"/>
    <w:rsid w:val="0094555B"/>
    <w:rsid w:val="00965FC1"/>
    <w:rsid w:val="00977510"/>
    <w:rsid w:val="00985B33"/>
    <w:rsid w:val="0099372D"/>
    <w:rsid w:val="00993B74"/>
    <w:rsid w:val="009C4558"/>
    <w:rsid w:val="009D1376"/>
    <w:rsid w:val="009E7D6D"/>
    <w:rsid w:val="00A069B5"/>
    <w:rsid w:val="00A06D77"/>
    <w:rsid w:val="00A073D4"/>
    <w:rsid w:val="00A60D59"/>
    <w:rsid w:val="00A64DCA"/>
    <w:rsid w:val="00A87BD1"/>
    <w:rsid w:val="00A90B92"/>
    <w:rsid w:val="00A91CAC"/>
    <w:rsid w:val="00A92FA7"/>
    <w:rsid w:val="00AC628A"/>
    <w:rsid w:val="00AE36CA"/>
    <w:rsid w:val="00B23E92"/>
    <w:rsid w:val="00B5796C"/>
    <w:rsid w:val="00B72B2F"/>
    <w:rsid w:val="00B73C0A"/>
    <w:rsid w:val="00B83BBB"/>
    <w:rsid w:val="00B92AE6"/>
    <w:rsid w:val="00BA249B"/>
    <w:rsid w:val="00BA34BC"/>
    <w:rsid w:val="00BB59B3"/>
    <w:rsid w:val="00BD056E"/>
    <w:rsid w:val="00BF2736"/>
    <w:rsid w:val="00C17A9C"/>
    <w:rsid w:val="00C25294"/>
    <w:rsid w:val="00C25DD0"/>
    <w:rsid w:val="00C26020"/>
    <w:rsid w:val="00C42FFC"/>
    <w:rsid w:val="00C56A57"/>
    <w:rsid w:val="00C60065"/>
    <w:rsid w:val="00C900B1"/>
    <w:rsid w:val="00C91051"/>
    <w:rsid w:val="00CA0043"/>
    <w:rsid w:val="00CA3979"/>
    <w:rsid w:val="00CE0A40"/>
    <w:rsid w:val="00CE7F0E"/>
    <w:rsid w:val="00CF28BE"/>
    <w:rsid w:val="00CF69D3"/>
    <w:rsid w:val="00D44F17"/>
    <w:rsid w:val="00D548C3"/>
    <w:rsid w:val="00D7550C"/>
    <w:rsid w:val="00D8356C"/>
    <w:rsid w:val="00D91B0B"/>
    <w:rsid w:val="00DA7166"/>
    <w:rsid w:val="00DC6BB4"/>
    <w:rsid w:val="00DC7D23"/>
    <w:rsid w:val="00DE58B8"/>
    <w:rsid w:val="00DF086C"/>
    <w:rsid w:val="00E0516E"/>
    <w:rsid w:val="00E3280C"/>
    <w:rsid w:val="00E424F9"/>
    <w:rsid w:val="00E62FB6"/>
    <w:rsid w:val="00E92219"/>
    <w:rsid w:val="00F02FF5"/>
    <w:rsid w:val="00F32DA5"/>
    <w:rsid w:val="00F34986"/>
    <w:rsid w:val="00F520FF"/>
    <w:rsid w:val="00F65371"/>
    <w:rsid w:val="00F8235F"/>
    <w:rsid w:val="00FA1F16"/>
    <w:rsid w:val="00FA7412"/>
    <w:rsid w:val="00FC7933"/>
    <w:rsid w:val="00FD1AC4"/>
    <w:rsid w:val="00FF0BC6"/>
    <w:rsid w:val="00FF69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56E"/>
    <w:rPr>
      <w:sz w:val="24"/>
      <w:szCs w:val="24"/>
      <w:lang w:val="en-GB"/>
    </w:rPr>
  </w:style>
  <w:style w:type="paragraph" w:styleId="Heading8">
    <w:name w:val="heading 8"/>
    <w:basedOn w:val="Normal"/>
    <w:next w:val="Normal"/>
    <w:qFormat/>
    <w:rsid w:val="00FC7933"/>
    <w:pPr>
      <w:spacing w:before="240" w:after="60"/>
      <w:outlineLvl w:val="7"/>
    </w:pPr>
    <w:rPr>
      <w:i/>
      <w:iCs/>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14F1A"/>
    <w:rPr>
      <w:rFonts w:ascii="Tahoma" w:hAnsi="Tahoma" w:cs="Tahoma"/>
      <w:sz w:val="16"/>
      <w:szCs w:val="16"/>
    </w:rPr>
  </w:style>
  <w:style w:type="paragraph" w:styleId="DocumentMap">
    <w:name w:val="Document Map"/>
    <w:basedOn w:val="Normal"/>
    <w:semiHidden/>
    <w:rsid w:val="00E92219"/>
    <w:pPr>
      <w:shd w:val="clear" w:color="auto" w:fill="000080"/>
    </w:pPr>
    <w:rPr>
      <w:rFonts w:ascii="Tahoma" w:hAnsi="Tahoma" w:cs="Tahoma"/>
      <w:sz w:val="20"/>
      <w:szCs w:val="20"/>
    </w:rPr>
  </w:style>
  <w:style w:type="paragraph" w:styleId="BodyText3">
    <w:name w:val="Body Text 3"/>
    <w:basedOn w:val="Normal"/>
    <w:link w:val="BodyText3Char"/>
    <w:rsid w:val="00E92219"/>
    <w:pPr>
      <w:spacing w:line="480" w:lineRule="auto"/>
    </w:pPr>
    <w:rPr>
      <w:rFonts w:ascii="Arial" w:hAnsi="Arial"/>
      <w:szCs w:val="20"/>
      <w:lang w:val="el-GR" w:eastAsia="en-US"/>
    </w:rPr>
  </w:style>
  <w:style w:type="paragraph" w:customStyle="1" w:styleId="Char">
    <w:name w:val="Char"/>
    <w:basedOn w:val="Normal"/>
    <w:rsid w:val="009C4558"/>
    <w:pPr>
      <w:spacing w:after="160" w:line="240" w:lineRule="exact"/>
    </w:pPr>
    <w:rPr>
      <w:rFonts w:ascii="Tahoma" w:hAnsi="Tahoma"/>
      <w:sz w:val="20"/>
      <w:szCs w:val="20"/>
      <w:lang w:val="en-US" w:eastAsia="en-US"/>
    </w:rPr>
  </w:style>
  <w:style w:type="paragraph" w:styleId="BodyTextIndent3">
    <w:name w:val="Body Text Indent 3"/>
    <w:basedOn w:val="Normal"/>
    <w:rsid w:val="00A073D4"/>
    <w:pPr>
      <w:spacing w:after="120"/>
      <w:ind w:left="283"/>
    </w:pPr>
    <w:rPr>
      <w:rFonts w:eastAsia="SimSun"/>
      <w:sz w:val="16"/>
      <w:szCs w:val="16"/>
      <w:lang w:val="en-US" w:eastAsia="zh-CN"/>
    </w:rPr>
  </w:style>
  <w:style w:type="character" w:styleId="Hyperlink">
    <w:name w:val="Hyperlink"/>
    <w:basedOn w:val="DefaultParagraphFont"/>
    <w:rsid w:val="008F093A"/>
    <w:rPr>
      <w:color w:val="0000FF"/>
      <w:u w:val="single"/>
    </w:rPr>
  </w:style>
  <w:style w:type="character" w:customStyle="1" w:styleId="BodyText3Char">
    <w:name w:val="Body Text 3 Char"/>
    <w:basedOn w:val="DefaultParagraphFont"/>
    <w:link w:val="BodyText3"/>
    <w:rsid w:val="00BF2736"/>
    <w:rPr>
      <w:rFonts w:ascii="Arial" w:hAnsi="Arial"/>
      <w:sz w:val="24"/>
      <w:lang w:eastAsia="en-US"/>
    </w:rPr>
  </w:style>
  <w:style w:type="character" w:styleId="CommentReference">
    <w:name w:val="annotation reference"/>
    <w:basedOn w:val="DefaultParagraphFont"/>
    <w:rsid w:val="00977510"/>
    <w:rPr>
      <w:sz w:val="16"/>
      <w:szCs w:val="16"/>
    </w:rPr>
  </w:style>
  <w:style w:type="paragraph" w:styleId="CommentText">
    <w:name w:val="annotation text"/>
    <w:basedOn w:val="Normal"/>
    <w:link w:val="CommentTextChar"/>
    <w:rsid w:val="00977510"/>
    <w:rPr>
      <w:sz w:val="20"/>
      <w:szCs w:val="20"/>
    </w:rPr>
  </w:style>
  <w:style w:type="character" w:customStyle="1" w:styleId="CommentTextChar">
    <w:name w:val="Comment Text Char"/>
    <w:basedOn w:val="DefaultParagraphFont"/>
    <w:link w:val="CommentText"/>
    <w:rsid w:val="00977510"/>
    <w:rPr>
      <w:lang w:val="en-GB"/>
    </w:rPr>
  </w:style>
  <w:style w:type="paragraph" w:styleId="Header">
    <w:name w:val="header"/>
    <w:basedOn w:val="Normal"/>
    <w:link w:val="HeaderChar"/>
    <w:rsid w:val="001E5DA8"/>
    <w:pPr>
      <w:tabs>
        <w:tab w:val="center" w:pos="4153"/>
        <w:tab w:val="right" w:pos="8306"/>
      </w:tabs>
    </w:pPr>
  </w:style>
  <w:style w:type="character" w:customStyle="1" w:styleId="HeaderChar">
    <w:name w:val="Header Char"/>
    <w:basedOn w:val="DefaultParagraphFont"/>
    <w:link w:val="Header"/>
    <w:rsid w:val="001E5DA8"/>
    <w:rPr>
      <w:sz w:val="24"/>
      <w:szCs w:val="24"/>
      <w:lang w:val="en-GB"/>
    </w:rPr>
  </w:style>
  <w:style w:type="paragraph" w:styleId="Footer">
    <w:name w:val="footer"/>
    <w:basedOn w:val="Normal"/>
    <w:link w:val="FooterChar"/>
    <w:rsid w:val="001E5DA8"/>
    <w:pPr>
      <w:tabs>
        <w:tab w:val="center" w:pos="4153"/>
        <w:tab w:val="right" w:pos="8306"/>
      </w:tabs>
    </w:pPr>
  </w:style>
  <w:style w:type="character" w:customStyle="1" w:styleId="FooterChar">
    <w:name w:val="Footer Char"/>
    <w:basedOn w:val="DefaultParagraphFont"/>
    <w:link w:val="Footer"/>
    <w:rsid w:val="001E5DA8"/>
    <w:rPr>
      <w:sz w:val="24"/>
      <w:szCs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7656F-8C26-41EC-82F5-13DAD84D9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755</Words>
  <Characters>4082</Characters>
  <Application>Microsoft Office Word</Application>
  <DocSecurity>0</DocSecurity>
  <Lines>34</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ΑΝΑΚΟΙΝΩΣΗ ΤΥΠΟΥ</vt:lpstr>
      <vt:lpstr>ΑΝΑΚΟΙΝΩΣΗ ΤΥΠΟΥ</vt:lpstr>
    </vt:vector>
  </TitlesOfParts>
  <Company/>
  <LinksUpToDate>false</LinksUpToDate>
  <CharactersWithSpaces>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ΑΝΑΚΟΙΝΩΣΗ ΤΥΠΟΥ</dc:title>
  <dc:creator>aserghi</dc:creator>
  <cp:lastModifiedBy>Myranda Toumazou</cp:lastModifiedBy>
  <cp:revision>13</cp:revision>
  <cp:lastPrinted>2012-06-20T13:43:00Z</cp:lastPrinted>
  <dcterms:created xsi:type="dcterms:W3CDTF">2012-06-13T06:24:00Z</dcterms:created>
  <dcterms:modified xsi:type="dcterms:W3CDTF">2012-06-20T14:31:00Z</dcterms:modified>
</cp:coreProperties>
</file>